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78" w:rsidRPr="005F3875" w:rsidRDefault="00354D78" w:rsidP="005F38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F387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D64E77" w:rsidRPr="005F3875" w:rsidTr="005F3875">
        <w:tc>
          <w:tcPr>
            <w:tcW w:w="446" w:type="dxa"/>
          </w:tcPr>
          <w:p w:rsidR="00D64E77" w:rsidRPr="005F3875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87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6"/>
            </w:tblGrid>
            <w:tr w:rsidR="00D64E77" w:rsidRPr="005F3875">
              <w:trPr>
                <w:trHeight w:val="107"/>
              </w:trPr>
              <w:tc>
                <w:tcPr>
                  <w:tcW w:w="0" w:type="auto"/>
                </w:tcPr>
                <w:p w:rsidR="00D64E77" w:rsidRPr="005F3875" w:rsidRDefault="00D64E77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F38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5F38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Название дисциплины </w:t>
                  </w:r>
                </w:p>
              </w:tc>
            </w:tr>
          </w:tbl>
          <w:p w:rsidR="00D64E77" w:rsidRPr="005F3875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p w:rsidR="00D64E77" w:rsidRPr="005F3875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54D78" w:rsidRPr="00930150" w:rsidTr="005F3875">
        <w:tc>
          <w:tcPr>
            <w:tcW w:w="446" w:type="dxa"/>
          </w:tcPr>
          <w:p w:rsidR="00D64E77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43"/>
            </w:tblGrid>
            <w:tr w:rsidR="002654E6" w:rsidRPr="00930150" w:rsidTr="00C70205">
              <w:trPr>
                <w:trHeight w:val="109"/>
              </w:trPr>
              <w:tc>
                <w:tcPr>
                  <w:tcW w:w="0" w:type="auto"/>
                </w:tcPr>
                <w:p w:rsidR="00D64E77" w:rsidRPr="00930150" w:rsidRDefault="002654E6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Методология</w:t>
                  </w:r>
                  <w:r w:rsidR="00D64E77"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научных исследований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354D78" w:rsidRPr="00930150">
              <w:trPr>
                <w:trHeight w:val="385"/>
              </w:trPr>
              <w:tc>
                <w:tcPr>
                  <w:tcW w:w="0" w:type="auto"/>
                </w:tcPr>
                <w:p w:rsidR="00D64E77" w:rsidRPr="00930150" w:rsidRDefault="00D64E77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Крячко О. В.,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Лукоянова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Л. А., Савичева С. В. Методы научных исследований / О. В. Крячко, Л. А.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Лукоянова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С. В. Савичева;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. – СПб: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2019 – 71 с.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E77" w:rsidRPr="00930150" w:rsidTr="005F3875">
        <w:tc>
          <w:tcPr>
            <w:tcW w:w="446" w:type="dxa"/>
          </w:tcPr>
          <w:p w:rsidR="00D64E77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4"/>
            </w:tblGrid>
            <w:tr w:rsidR="00D64E77" w:rsidRPr="00930150" w:rsidTr="00C70205">
              <w:trPr>
                <w:trHeight w:val="109"/>
              </w:trPr>
              <w:tc>
                <w:tcPr>
                  <w:tcW w:w="0" w:type="auto"/>
                </w:tcPr>
                <w:p w:rsidR="00D64E77" w:rsidRPr="00930150" w:rsidRDefault="00D64E77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Лабораторная диагностика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>
              <w:trPr>
                <w:trHeight w:val="800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Ковалев С.П.,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Трушкин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Воинова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Никишина И.В., Киселенко П.С. Методические рекомендации по организации самостоятельной работы по дисциплинам «Клиническая диагностика», «Гематология», «Лабораторная диагностика», Инструментальные методы диагностики» для студентов, обучающихся по специальности «Ветеринария». С-Пб., «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Фалкон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Принт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», 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2019.-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26 с.</w:t>
                  </w:r>
                  <w:r w:rsidR="00836078"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E77" w:rsidRPr="00930150" w:rsidTr="005F3875">
        <w:tc>
          <w:tcPr>
            <w:tcW w:w="446" w:type="dxa"/>
          </w:tcPr>
          <w:p w:rsidR="00D64E77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3"/>
            </w:tblGrid>
            <w:tr w:rsidR="00D64E77" w:rsidRPr="00930150" w:rsidTr="00C70205">
              <w:trPr>
                <w:trHeight w:val="109"/>
              </w:trPr>
              <w:tc>
                <w:tcPr>
                  <w:tcW w:w="0" w:type="auto"/>
                </w:tcPr>
                <w:p w:rsidR="00D64E77" w:rsidRPr="00930150" w:rsidRDefault="00D64E77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Биотехнология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>
              <w:trPr>
                <w:trHeight w:val="385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Биотехнология: продуценты биотехнологических процессов. Учебное пособие /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Сухинин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Панкратов С.В., Приходько Е.И., Виноходов В.О., Белкина И.В., Смирнова Л.И.,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Макавчик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С.А. - СПб: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21 с.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E77" w:rsidRPr="00930150" w:rsidTr="005F3875">
        <w:tc>
          <w:tcPr>
            <w:tcW w:w="446" w:type="dxa"/>
          </w:tcPr>
          <w:p w:rsidR="00D64E77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D64E77" w:rsidRPr="00930150" w:rsidTr="00C70205">
              <w:trPr>
                <w:trHeight w:val="248"/>
              </w:trPr>
              <w:tc>
                <w:tcPr>
                  <w:tcW w:w="0" w:type="auto"/>
                </w:tcPr>
                <w:p w:rsidR="00D64E77" w:rsidRPr="00930150" w:rsidRDefault="00D64E77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Секционный курс и судебная ветеринарная медицина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A3532" w:rsidRPr="00930150" w:rsidTr="00C70205">
              <w:trPr>
                <w:trHeight w:val="661"/>
              </w:trPr>
              <w:tc>
                <w:tcPr>
                  <w:tcW w:w="0" w:type="auto"/>
                </w:tcPr>
                <w:p w:rsidR="009A3532" w:rsidRPr="00930150" w:rsidRDefault="009A3532" w:rsidP="005F38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Методические рекомендации по выполнению самостоятельной работы студентов по </w:t>
                  </w:r>
                  <w:proofErr w:type="spellStart"/>
                  <w:proofErr w:type="gram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дис-циплинам</w:t>
                  </w:r>
                  <w:proofErr w:type="spellEnd"/>
                  <w:proofErr w:type="gram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кафедры патологической анатомии и судебной ветеринарной медицины / А.А. Кудряшов, В.И. Балабанова, Д.Е.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Левтеров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Ю.В. Иванов; МСХ РФ,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. – Санкт-Петербург: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2021. – 67 с.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E77" w:rsidRPr="00930150" w:rsidTr="005F3875">
        <w:tc>
          <w:tcPr>
            <w:tcW w:w="446" w:type="dxa"/>
          </w:tcPr>
          <w:p w:rsidR="00D64E77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1"/>
            </w:tblGrid>
            <w:tr w:rsidR="00D64E77" w:rsidRPr="00930150" w:rsidTr="00C70205">
              <w:trPr>
                <w:trHeight w:val="109"/>
              </w:trPr>
              <w:tc>
                <w:tcPr>
                  <w:tcW w:w="0" w:type="auto"/>
                </w:tcPr>
                <w:p w:rsidR="00D64E77" w:rsidRPr="00930150" w:rsidRDefault="00D64E77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Ветеринарно-санитарная экспертиза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>
              <w:trPr>
                <w:trHeight w:val="1074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Смирнов А.В., Урбан В.Г., Токарев А.Н. Рекомендации по выполнению и оформлению курсовой работы по дисциплине «Ветеринарно-санитарная экспертиза» - СПб, 2019 15 с. </w:t>
                  </w:r>
                </w:p>
                <w:p w:rsidR="009423C1" w:rsidRPr="00930150" w:rsidRDefault="009423C1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Смирнов А. В., Токарев А. Н., Орлова Д.А., Урбан В.Г.,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Смолькина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А.С., Калюжная Т.В., Якунчикова К.Н. Учебно-методическое пособие по освоению дисциплины «Ветеринарно-санитарная экспертиза». Направление подготовки 36.05.01 – «Ветеринария». Уровень высшего образования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специалитет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– СПб.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– 79 с.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E77" w:rsidRPr="00930150" w:rsidTr="005F3875">
        <w:tc>
          <w:tcPr>
            <w:tcW w:w="446" w:type="dxa"/>
          </w:tcPr>
          <w:p w:rsidR="00D64E77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3"/>
            </w:tblGrid>
            <w:tr w:rsidR="00D64E77" w:rsidRPr="00930150" w:rsidTr="00C70205">
              <w:trPr>
                <w:trHeight w:val="109"/>
              </w:trPr>
              <w:tc>
                <w:tcPr>
                  <w:tcW w:w="0" w:type="auto"/>
                </w:tcPr>
                <w:p w:rsidR="00D64E77" w:rsidRPr="00930150" w:rsidRDefault="00D64E77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Организация ветеринарного дела 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>
              <w:trPr>
                <w:trHeight w:val="522"/>
              </w:trPr>
              <w:tc>
                <w:tcPr>
                  <w:tcW w:w="0" w:type="auto"/>
                </w:tcPr>
                <w:p w:rsidR="009423C1" w:rsidRPr="00930150" w:rsidRDefault="00FC7E54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Делопроизводство в ветеринарных учреждениях и 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организациях :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учебное пособие / авт.-сост.: А. А. Алиев [и др.];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 – Санкт-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Петербург :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2018. – 86 с.</w:t>
                  </w:r>
                </w:p>
              </w:tc>
            </w:tr>
          </w:tbl>
          <w:p w:rsidR="00D64E77" w:rsidRPr="00930150" w:rsidRDefault="00D64E77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23C1" w:rsidRPr="00930150" w:rsidTr="005F3875">
        <w:tc>
          <w:tcPr>
            <w:tcW w:w="446" w:type="dxa"/>
          </w:tcPr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9"/>
            </w:tblGrid>
            <w:tr w:rsidR="009423C1" w:rsidRPr="00930150">
              <w:trPr>
                <w:trHeight w:val="109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Ветеринарная рентгенология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>
              <w:trPr>
                <w:trHeight w:val="524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sz w:val="23"/>
                      <w:szCs w:val="23"/>
                    </w:rPr>
                    <w:t>Нарусбаева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М.А.,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А.А. Ветеринарная рентгенология: методические рекомендации для студентов по рентгенологической анатомии органов брюшной полости в норме / М.А.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Нарусбаева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А.А.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. - Санкт-Петербург: Изд-во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2019. – 20 с.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23C1" w:rsidRPr="00930150" w:rsidTr="005F3875">
        <w:tc>
          <w:tcPr>
            <w:tcW w:w="446" w:type="dxa"/>
          </w:tcPr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5"/>
            </w:tblGrid>
            <w:tr w:rsidR="009423C1" w:rsidRPr="00930150" w:rsidTr="00C70205">
              <w:trPr>
                <w:trHeight w:val="109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Болезни птиц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>
              <w:trPr>
                <w:trHeight w:val="524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Учебно-методическое пособие по дисциплине «Болезни птиц»: дезинсекция в системе мер противоэпизоотических мероприятий – Полякова О.Р.,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Козыренко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О.В., Кузьмин В.А., Джавадов Э.Д., Данко Ю.Ю., Фогель Л.С.,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Кисиль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А.С., Иванов Ю.В., Ещенко И.Д.– СПб.: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изд-воСПбГАВМ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 г. – 14 с.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423C1" w:rsidRPr="00930150" w:rsidRDefault="009423C1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  <w:gridCol w:w="222"/>
            </w:tblGrid>
            <w:tr w:rsidR="005F3875" w:rsidRPr="00930150" w:rsidTr="006135DB">
              <w:trPr>
                <w:trHeight w:val="382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Болезни пчёл и рыб </w:t>
                  </w:r>
                </w:p>
              </w:tc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Воронин В.Н., Печенкина А.А. Методические рекомендации по выполнению самостоятельной работы по дисциплине «Болезни пчел и рыб». Направление подготовки 36.05.01 – «Ветеринария». СПб. Издательство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, 2019 - 17 с.</w:t>
            </w:r>
          </w:p>
        </w:tc>
      </w:tr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0"/>
              <w:gridCol w:w="222"/>
            </w:tblGrid>
            <w:tr w:rsidR="005F3875" w:rsidRPr="00930150" w:rsidTr="006135DB">
              <w:trPr>
                <w:trHeight w:val="385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Иммунология </w:t>
                  </w:r>
                </w:p>
              </w:tc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Иммунология: Учебное пособие /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Макавчик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 С.А.,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Сухинин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 А.А., Белкина И..В., Приходько Е.И., Смирнова Л.И. - Санкт-Петербург: ФГБОУ ВО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, 2019. – 109 с.</w:t>
            </w:r>
          </w:p>
        </w:tc>
      </w:tr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"/>
              <w:gridCol w:w="222"/>
            </w:tblGrid>
            <w:tr w:rsidR="005F3875" w:rsidRPr="00930150" w:rsidTr="006135DB">
              <w:trPr>
                <w:trHeight w:val="522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Диетология </w:t>
                  </w:r>
                </w:p>
              </w:tc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Пристач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 Н.В. Диетология: методические рекомендации по изучению дисциплины и выполнения самостоятельной работы для обучающихся по специальности 36.05.01 «Ветеринария» очной, очно-заочной, заочной форм обучения. / Н.В.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Пристач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. – Санкт-Петербург : ФГБОУ ВО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, 2019 – 17 с.</w:t>
            </w:r>
          </w:p>
        </w:tc>
      </w:tr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2"/>
              <w:gridCol w:w="222"/>
            </w:tblGrid>
            <w:tr w:rsidR="005F3875" w:rsidRPr="00930150" w:rsidTr="006135DB">
              <w:trPr>
                <w:trHeight w:val="245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Физиотерапия </w:t>
                  </w:r>
                </w:p>
              </w:tc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Электролечение </w:t>
            </w:r>
            <w:proofErr w:type="gram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животных :</w:t>
            </w:r>
            <w:proofErr w:type="gram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 учебно-метод. пособие для студентов вузов фак.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вет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. медицины оч. и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заоч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обуч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слуш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. ФПК и практикующих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вет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. врачей /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; сост. Л.Н.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Трудова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 xml:space="preserve">. – Санкт-Петербург : Изд-во </w:t>
            </w:r>
            <w:proofErr w:type="spellStart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, 2006.</w:t>
            </w:r>
          </w:p>
        </w:tc>
      </w:tr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5F3875" w:rsidRPr="00930150" w:rsidTr="006135DB">
              <w:trPr>
                <w:trHeight w:val="800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Инструментальные методы диагностики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5F3875" w:rsidRPr="00930150" w:rsidTr="006135DB">
              <w:trPr>
                <w:trHeight w:val="800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Ковалев С.П.,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Трушкин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В.А.,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Воинова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А.А., Никишина И.В., Киселенко П.С. Методические рекомендации по организации самостоятельной работы по дисциплинам «Клиническая диагностика», «Гематология», «Лабораторная диагностика», Инструментальные методы диагностики» для студентов, обучающихся по специальности «Ветеринария». С-Пб., «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Фалкон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Принт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», 2019.-26 с.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5F3875" w:rsidRPr="00930150" w:rsidTr="006135DB">
              <w:trPr>
                <w:trHeight w:val="661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Патогистологическая диагностика </w:t>
                  </w:r>
                </w:p>
              </w:tc>
            </w:tr>
          </w:tbl>
          <w:p w:rsidR="005F3875" w:rsidRPr="00930150" w:rsidRDefault="005F3875" w:rsidP="006135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5F3875" w:rsidRPr="00930150" w:rsidTr="006135DB">
              <w:trPr>
                <w:trHeight w:val="661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Методические рекомендации по выполнению самостоятельной работы студентов по дисциплинам кафедры патологической анатомии и судебной ветеринарной медицины / А.А. Кудряшов, В.И. Балабанова, Д.Е.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Левтеров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Ю.В. Иванов; МСХ РФ,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. – Санкт-Петербург: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2021. – 67 с. </w:t>
                  </w:r>
                </w:p>
              </w:tc>
            </w:tr>
          </w:tbl>
          <w:p w:rsidR="005F3875" w:rsidRPr="00930150" w:rsidRDefault="005F3875" w:rsidP="006135DB">
            <w:pPr>
              <w:pStyle w:val="Default"/>
              <w:rPr>
                <w:sz w:val="23"/>
                <w:szCs w:val="23"/>
              </w:rPr>
            </w:pPr>
          </w:p>
        </w:tc>
      </w:tr>
      <w:tr w:rsidR="009423C1" w:rsidRPr="00930150" w:rsidTr="005F3875">
        <w:tc>
          <w:tcPr>
            <w:tcW w:w="446" w:type="dxa"/>
          </w:tcPr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BE3726" w:rsidRPr="00930150">
              <w:trPr>
                <w:trHeight w:val="669"/>
              </w:trPr>
              <w:tc>
                <w:tcPr>
                  <w:tcW w:w="0" w:type="auto"/>
                </w:tcPr>
                <w:p w:rsidR="00BE3726" w:rsidRPr="00930150" w:rsidRDefault="00BE3726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>Оценка и управление рисками при зоонозах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 w:rsidTr="00C70205">
              <w:trPr>
                <w:trHeight w:val="669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Учебно-методическое пособие по дисциплине «Управление рисками при зоонозах»: дезинфекция в системе мер противоэпизоотических мероприятий / Полякова О.Р.,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Козыренко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О.В., Кузьмин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В.А.,Джавадов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Э.Д., Данко Ю.Ю., Фогель Л.С.,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Кисиль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А.С. Иванов Ю.В., Ещенко И.Д.– СПб.: изд-во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 г. – 75 с.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23C1" w:rsidRPr="00930150" w:rsidTr="005F3875">
        <w:tc>
          <w:tcPr>
            <w:tcW w:w="446" w:type="dxa"/>
          </w:tcPr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3"/>
            </w:tblGrid>
            <w:tr w:rsidR="009423C1" w:rsidRPr="00930150">
              <w:trPr>
                <w:trHeight w:val="661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Государственный ветеринарный надзор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 w:rsidTr="00C70205">
              <w:trPr>
                <w:trHeight w:val="661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sz w:val="23"/>
                      <w:szCs w:val="23"/>
                    </w:rPr>
                    <w:t>Заходнова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Д.В. Методические рекомендации по организации самостоятельной работы по дисциплине «Государственный ветеринарный надзор» для студентов, обучающихся по специальности «Ветеринария» / Д.В.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Заходнова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Д.А. Орехов, Д.А. Померанцев, И.И. Шершнева, М.В. Виноходова;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. – Санкт-Петербург: Издательство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2019г. – 23 с.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23C1" w:rsidRPr="00930150" w:rsidTr="005F3875">
        <w:tc>
          <w:tcPr>
            <w:tcW w:w="446" w:type="dxa"/>
          </w:tcPr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9"/>
            </w:tblGrid>
            <w:tr w:rsidR="009423C1" w:rsidRPr="00930150">
              <w:trPr>
                <w:trHeight w:val="524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Управление проектами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 w:rsidTr="00C70205">
              <w:trPr>
                <w:trHeight w:val="524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Чеховских И.А. Методические рекомендации по организации самостоятельной работы по дисциплине «Управление проектами» для студентов, обучающихся по специальности «Ветеринария» / И.А. Чеховских //.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. – Санкт-Петербург: Издательство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2019г. – 15 с.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423C1" w:rsidRPr="00930150" w:rsidRDefault="009423C1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="005F3875" w:rsidRPr="00930150" w:rsidTr="006135DB">
              <w:trPr>
                <w:trHeight w:val="385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Ортопедия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5F3875" w:rsidRPr="00930150" w:rsidTr="006135DB">
              <w:trPr>
                <w:trHeight w:val="385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sz w:val="23"/>
                      <w:szCs w:val="23"/>
                    </w:rPr>
                    <w:t>Байлов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В.В.,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А.А.,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Нарусбаева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М.А.,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Трудова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Л.Н.,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Букаи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М.К., Лечение и профилактика болезней копытец крупного рогатого скота.- СПб., Издательство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 г. – 68 с.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5F3875" w:rsidRPr="00930150" w:rsidTr="006135DB">
              <w:trPr>
                <w:trHeight w:val="800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Гематология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5F3875" w:rsidRPr="00930150" w:rsidTr="006135DB">
              <w:trPr>
                <w:trHeight w:val="800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Ковалев С.П.,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Трушкин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В.А.,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Воинова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А.А., Никишина И.В., Киселенко П.С. Методические рекомендации по организации самостоятельной работы по дисциплинам «Клиническая диагностика», «Гематология», «Лабораторная диагностика», Инструментальные методы диагностики» для студентов, обучающихся по специальности «Ветеринария». С-Пб., «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Фалкон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Принт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», 2019.-26 с.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5F3875" w:rsidRPr="00930150" w:rsidTr="006135DB">
              <w:trPr>
                <w:trHeight w:val="661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Современные технологии промышленного животноводства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5F3875" w:rsidRPr="00930150" w:rsidTr="006135DB">
              <w:trPr>
                <w:trHeight w:val="661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Методические указания для самостоятельной работы обучающимися по направлению подготовки 36.05.01 – Ветеринария, очной, очно-заочной и заочной формы обучения по дисциплине «Современные технологии промышленного животноводства» Уколов П.И.,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Шараськина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О.Г.,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Пристач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Л.Н.: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. – Санкт-Петербург: ФГБОУ 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 г. – 20 с.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3875" w:rsidRPr="00930150" w:rsidTr="006135DB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5F3875" w:rsidRPr="00930150" w:rsidTr="006135DB">
              <w:trPr>
                <w:trHeight w:val="661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Элективные курсы по физической культуре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5F3875" w:rsidRPr="00930150" w:rsidTr="006135DB">
              <w:trPr>
                <w:trHeight w:val="661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Круглов С.Г., Гаврилова Е.А., Жаринов Н.М., Жаринова </w:t>
                  </w:r>
                  <w:proofErr w:type="gramStart"/>
                  <w:r w:rsidRPr="00930150">
                    <w:rPr>
                      <w:sz w:val="23"/>
                      <w:szCs w:val="23"/>
                    </w:rPr>
                    <w:t>Е.Н..</w:t>
                  </w:r>
                  <w:proofErr w:type="gramEnd"/>
                  <w:r w:rsidRPr="00930150">
                    <w:rPr>
                      <w:sz w:val="23"/>
                      <w:szCs w:val="23"/>
                    </w:rPr>
                    <w:t xml:space="preserve"> Методические рекомендации для студентов VI функциональной группы здоровья по выполнению и оформлению реферативной работы по учебной дисциплине «Элективные курсы по физической культуре». Направление подготовки 36.05.01 – «Ветеринария»- СПб., Издательство ФГБОУ 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 – 25с.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23C1" w:rsidRPr="00930150" w:rsidTr="005F3875">
        <w:tc>
          <w:tcPr>
            <w:tcW w:w="446" w:type="dxa"/>
          </w:tcPr>
          <w:p w:rsidR="009423C1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2"/>
            </w:tblGrid>
            <w:tr w:rsidR="009423C1" w:rsidRPr="00930150">
              <w:trPr>
                <w:trHeight w:val="385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Стоматология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 w:rsidTr="00C70205">
              <w:trPr>
                <w:trHeight w:val="385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А.А.,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Бокарев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А.В.,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Блузма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А.О. Стоматология: методические рекомендации для студентов по болезням мягких тканей ротовой полости. – СПб., Издательство ФГБОУ 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 г. – 33 с.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23C1" w:rsidRPr="00930150" w:rsidTr="005F3875">
        <w:tc>
          <w:tcPr>
            <w:tcW w:w="446" w:type="dxa"/>
          </w:tcPr>
          <w:p w:rsidR="009423C1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9423C1" w:rsidRPr="00930150">
              <w:trPr>
                <w:trHeight w:val="385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Офтальмология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3C0AFD" w:rsidRPr="00930150" w:rsidTr="00C70205">
              <w:trPr>
                <w:trHeight w:val="385"/>
              </w:trPr>
              <w:tc>
                <w:tcPr>
                  <w:tcW w:w="0" w:type="auto"/>
                </w:tcPr>
                <w:p w:rsidR="003C0AFD" w:rsidRPr="00930150" w:rsidRDefault="003C0AFD" w:rsidP="005F38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Офтальмология. Специальные методы исследования у 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животных :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методические указания / Е.В. Прудникова, А.А.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М.А.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Нарусбаева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Е.В. Титова ; МСХ РФ,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- Санкт-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Петербург :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2021. - 31 с.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23C1" w:rsidRPr="00930150" w:rsidTr="005F3875">
        <w:tc>
          <w:tcPr>
            <w:tcW w:w="446" w:type="dxa"/>
          </w:tcPr>
          <w:p w:rsidR="009423C1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3"/>
            </w:tblGrid>
            <w:tr w:rsidR="009423C1" w:rsidRPr="00930150">
              <w:trPr>
                <w:trHeight w:val="1350"/>
              </w:trPr>
              <w:tc>
                <w:tcPr>
                  <w:tcW w:w="0" w:type="auto"/>
                </w:tcPr>
                <w:p w:rsidR="009423C1" w:rsidRPr="00930150" w:rsidRDefault="009423C1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Зоопсихология 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423C1" w:rsidRPr="00930150" w:rsidTr="00C4250D">
              <w:trPr>
                <w:trHeight w:val="1350"/>
              </w:trPr>
              <w:tc>
                <w:tcPr>
                  <w:tcW w:w="0" w:type="auto"/>
                </w:tcPr>
                <w:p w:rsidR="009423C1" w:rsidRPr="00930150" w:rsidRDefault="00C4250D" w:rsidP="005F387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Савичева, С.В. Зоопсихология: учебно-методическое пособие для самостоятельной работы студентов при изучении дисциплины «Зоопсихология» для студентов факультета ветеринарной медицины высших учебных заведений по специальности 36.05.01 «Ветеринария» / С.В. Савичева;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. - Санкт-Петербург: Изд-во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>, 2019. - 36 с.</w:t>
                  </w:r>
                </w:p>
              </w:tc>
            </w:tr>
          </w:tbl>
          <w:p w:rsidR="009423C1" w:rsidRPr="00930150" w:rsidRDefault="009423C1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423C1" w:rsidRPr="00930150" w:rsidRDefault="009423C1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23C1" w:rsidRPr="00930150" w:rsidRDefault="009423C1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23C1" w:rsidRPr="00930150" w:rsidRDefault="009423C1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F3875" w:rsidRPr="00930150" w:rsidRDefault="005F3875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5F3875" w:rsidRPr="00930150" w:rsidTr="00930150">
        <w:tc>
          <w:tcPr>
            <w:tcW w:w="446" w:type="dxa"/>
          </w:tcPr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5F3875" w:rsidRPr="00930150" w:rsidTr="006135DB">
              <w:trPr>
                <w:trHeight w:val="798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Коррекция нежелательного поведения животных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5F3875" w:rsidRPr="00930150" w:rsidTr="006135DB">
              <w:trPr>
                <w:trHeight w:val="798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Крячко О.В.,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Лукоянова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 Л.А. Коррекция нежелательного поведения животных //Учебно-методическое пособие для самостоятельной работы студентов по изучению дисциплины «Коррекция нежелательного поведения животных» для студентов факультета ветеринарной медицины высших учебных заведений по специальности 36.05.01- «Ветеринария». СПб.: Издательство ФГБОУ ВО </w:t>
                  </w:r>
                  <w:proofErr w:type="spellStart"/>
                  <w:r w:rsidRPr="00930150">
                    <w:rPr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sz w:val="23"/>
                      <w:szCs w:val="23"/>
                    </w:rPr>
                    <w:t xml:space="preserve">, 2019 - 30 с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3875" w:rsidRPr="00930150" w:rsidTr="00930150">
        <w:tc>
          <w:tcPr>
            <w:tcW w:w="446" w:type="dxa"/>
          </w:tcPr>
          <w:p w:rsidR="005F3875" w:rsidRPr="00930150" w:rsidRDefault="00930150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5"/>
            </w:tblGrid>
            <w:tr w:rsidR="005F3875" w:rsidRPr="00930150" w:rsidTr="006135DB">
              <w:trPr>
                <w:trHeight w:val="661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30150">
                    <w:rPr>
                      <w:sz w:val="23"/>
                      <w:szCs w:val="23"/>
                    </w:rPr>
                    <w:t xml:space="preserve">Лекарственные и ядовитые растения 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5F3875" w:rsidRPr="00930150" w:rsidTr="006135DB">
              <w:trPr>
                <w:trHeight w:val="661"/>
              </w:trPr>
              <w:tc>
                <w:tcPr>
                  <w:tcW w:w="0" w:type="auto"/>
                </w:tcPr>
                <w:p w:rsidR="005F3875" w:rsidRPr="00930150" w:rsidRDefault="005F3875" w:rsidP="006135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Виноградова Н.Д. Лекарственные и ядовитые растения. Методические указания по освоению дисциплины и выполнению самостоятельной работы для обучающихся по специальности 36.05.01 «Ветеринария» очной, очно-заочной и заочной форм обучения.  - СПб.: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– 2020.</w:t>
                  </w:r>
                </w:p>
              </w:tc>
            </w:tr>
          </w:tbl>
          <w:p w:rsidR="005F3875" w:rsidRPr="00930150" w:rsidRDefault="005F3875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3875" w:rsidRPr="00930150" w:rsidTr="00930150">
        <w:tc>
          <w:tcPr>
            <w:tcW w:w="446" w:type="dxa"/>
          </w:tcPr>
          <w:p w:rsidR="005F3875" w:rsidRPr="00930150" w:rsidRDefault="00930150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372" w:type="dxa"/>
          </w:tcPr>
          <w:p w:rsidR="005F3875" w:rsidRPr="00930150" w:rsidRDefault="005F3875" w:rsidP="006135DB">
            <w:pPr>
              <w:pStyle w:val="Default"/>
              <w:rPr>
                <w:sz w:val="23"/>
                <w:szCs w:val="23"/>
              </w:rPr>
            </w:pPr>
            <w:r w:rsidRPr="00930150">
              <w:rPr>
                <w:sz w:val="23"/>
                <w:szCs w:val="23"/>
              </w:rPr>
              <w:t>Радиационная гигиена</w:t>
            </w:r>
          </w:p>
        </w:tc>
        <w:tc>
          <w:tcPr>
            <w:tcW w:w="9742" w:type="dxa"/>
          </w:tcPr>
          <w:p w:rsidR="005F3875" w:rsidRPr="00930150" w:rsidRDefault="005F3875" w:rsidP="006135DB">
            <w:pPr>
              <w:pStyle w:val="Default"/>
              <w:rPr>
                <w:sz w:val="23"/>
                <w:szCs w:val="23"/>
              </w:rPr>
            </w:pPr>
            <w:r w:rsidRPr="00930150">
              <w:rPr>
                <w:sz w:val="23"/>
                <w:szCs w:val="23"/>
              </w:rPr>
              <w:t xml:space="preserve">Краткий курс ветеринарной </w:t>
            </w:r>
            <w:proofErr w:type="gramStart"/>
            <w:r w:rsidRPr="00930150">
              <w:rPr>
                <w:sz w:val="23"/>
                <w:szCs w:val="23"/>
              </w:rPr>
              <w:t>радиобиологии :</w:t>
            </w:r>
            <w:proofErr w:type="gramEnd"/>
            <w:r w:rsidRPr="00930150">
              <w:rPr>
                <w:sz w:val="23"/>
                <w:szCs w:val="23"/>
              </w:rPr>
              <w:t xml:space="preserve"> учебное пособие / сост.: Е. И. Трошин, Р. М. Васильев, Р. О. Васильев [и др.]; МСХ РФ, </w:t>
            </w:r>
            <w:proofErr w:type="spellStart"/>
            <w:r w:rsidRPr="00930150">
              <w:rPr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sz w:val="23"/>
                <w:szCs w:val="23"/>
              </w:rPr>
              <w:t>. - Санкт-</w:t>
            </w:r>
            <w:proofErr w:type="gramStart"/>
            <w:r w:rsidRPr="00930150">
              <w:rPr>
                <w:sz w:val="23"/>
                <w:szCs w:val="23"/>
              </w:rPr>
              <w:t>Петербург :</w:t>
            </w:r>
            <w:proofErr w:type="gramEnd"/>
            <w:r w:rsidRPr="00930150">
              <w:rPr>
                <w:sz w:val="23"/>
                <w:szCs w:val="23"/>
              </w:rPr>
              <w:t xml:space="preserve"> Изд-во </w:t>
            </w:r>
            <w:proofErr w:type="spellStart"/>
            <w:r w:rsidRPr="00930150">
              <w:rPr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sz w:val="23"/>
                <w:szCs w:val="23"/>
              </w:rPr>
              <w:t>, 2019. - 184 с.</w:t>
            </w:r>
          </w:p>
        </w:tc>
      </w:tr>
      <w:tr w:rsidR="005F3875" w:rsidRPr="00930150" w:rsidTr="00930150">
        <w:tc>
          <w:tcPr>
            <w:tcW w:w="446" w:type="dxa"/>
          </w:tcPr>
          <w:p w:rsidR="005F3875" w:rsidRPr="00930150" w:rsidRDefault="00930150" w:rsidP="006135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372" w:type="dxa"/>
          </w:tcPr>
          <w:p w:rsidR="005F3875" w:rsidRPr="00930150" w:rsidRDefault="005F3875" w:rsidP="006135DB">
            <w:pPr>
              <w:pStyle w:val="Default"/>
              <w:rPr>
                <w:sz w:val="23"/>
                <w:szCs w:val="23"/>
              </w:rPr>
            </w:pPr>
            <w:r w:rsidRPr="00930150">
              <w:rPr>
                <w:sz w:val="23"/>
                <w:szCs w:val="23"/>
              </w:rPr>
              <w:t>Радиационная безопасность на производстве</w:t>
            </w:r>
          </w:p>
        </w:tc>
        <w:tc>
          <w:tcPr>
            <w:tcW w:w="9742" w:type="dxa"/>
          </w:tcPr>
          <w:p w:rsidR="005F3875" w:rsidRPr="00930150" w:rsidRDefault="005F3875" w:rsidP="006135DB">
            <w:pPr>
              <w:pStyle w:val="Default"/>
              <w:rPr>
                <w:sz w:val="23"/>
                <w:szCs w:val="23"/>
              </w:rPr>
            </w:pPr>
            <w:r w:rsidRPr="00930150">
              <w:rPr>
                <w:sz w:val="23"/>
                <w:szCs w:val="23"/>
              </w:rPr>
              <w:t xml:space="preserve">Краткий курс ветеринарной радиобиологии: учебное пособие / сост.: Е. И. Трошин, [и др.]; МСХ РФ, </w:t>
            </w:r>
            <w:proofErr w:type="spellStart"/>
            <w:r w:rsidRPr="00930150">
              <w:rPr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sz w:val="23"/>
                <w:szCs w:val="23"/>
              </w:rPr>
              <w:t xml:space="preserve">. - Санкт-Петербург: Изд-во </w:t>
            </w:r>
            <w:proofErr w:type="spellStart"/>
            <w:r w:rsidRPr="00930150">
              <w:rPr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sz w:val="23"/>
                <w:szCs w:val="23"/>
              </w:rPr>
              <w:t>, 2019. - 184 с.</w:t>
            </w: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930150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6"/>
            </w:tblGrid>
            <w:tr w:rsidR="002B5E99" w:rsidRPr="00930150">
              <w:trPr>
                <w:trHeight w:val="524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Ботаника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257D8A" w:rsidRPr="00930150" w:rsidTr="00C70205">
              <w:trPr>
                <w:trHeight w:val="524"/>
              </w:trPr>
              <w:tc>
                <w:tcPr>
                  <w:tcW w:w="0" w:type="auto"/>
                </w:tcPr>
                <w:p w:rsidR="00257D8A" w:rsidRPr="00930150" w:rsidRDefault="00257D8A" w:rsidP="005F38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Виноградова Н.Д. Ботаника: Методические указания по освоению дисциплины и выполнению самостоятельной работы для обучающихся по специальности 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36.05.01  «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Ветеринария»  очной, очно-заочной и заочной форм обучения.  - СПб.: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– 2020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930150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2B5E99" w:rsidRPr="00930150">
              <w:trPr>
                <w:trHeight w:val="661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ветеринарной медицины (введение в специальность)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2B5E99" w:rsidRPr="00930150" w:rsidTr="00C70205">
              <w:trPr>
                <w:trHeight w:val="661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Виноходова М.В., Орехов Д.А.,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Заходнова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Д.В., Шершнева И.И., Померанцев Д.А. История ветеринарной медицины. Учебно-методические рекомендации / М.В. Виноходова, Д.А. Орехов, Д.В.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Заходнова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И.И. Шершнева, Д.А. Померанцев. – Санкт-Петербург: Издательство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г. – 30с.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930150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2B5E99" w:rsidRPr="00930150">
              <w:trPr>
                <w:trHeight w:val="798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ветеринарной медицины Санкт-Петербурга и Ленинградской области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2B5E99" w:rsidRPr="00930150" w:rsidTr="00C70205">
              <w:trPr>
                <w:trHeight w:val="798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Виноходова М.В. Методические рекомендации по организации самостоятельной работы по дисциплине «История ветеринарной медицины Санкт-Петербурга и Ленинградской области» для студентов, обучающихся по специальности «Ветеринария» / М.В. Виноходова, Д.В.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Заходнова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Д.А Орехов, И.И. Шершнева, А.А. Алиев;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- Санкт-Петербург: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19 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2B5E99" w:rsidRPr="00930150">
              <w:trPr>
                <w:trHeight w:val="385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(история России, всеобщая история)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2B5E99" w:rsidRPr="00930150" w:rsidTr="00C70205">
              <w:trPr>
                <w:trHeight w:val="385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Игумнов Е.В. Учебно-методические рекомендации по дисциплине «История (история России, всеобщая история)». Для студентов очного, очно-заочного и заочного обучения. СПб, 2019. – 28 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6"/>
            </w:tblGrid>
            <w:tr w:rsidR="002B5E99" w:rsidRPr="00930150">
              <w:trPr>
                <w:trHeight w:val="385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Философия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2B5E99" w:rsidRPr="00930150" w:rsidTr="00C70205">
              <w:trPr>
                <w:trHeight w:val="385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Еркин А.Г., Савинов Р.В. Методические рекомендации по подготовке реферата по дисциплине «Философия». Учебно-методическое издание. – Санкт-Петербург: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31 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423C1" w:rsidRPr="00930150" w:rsidRDefault="009423C1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23C1" w:rsidRPr="00930150" w:rsidRDefault="009423C1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930150" w:rsidRPr="00930150" w:rsidTr="00930150">
        <w:tc>
          <w:tcPr>
            <w:tcW w:w="446" w:type="dxa"/>
          </w:tcPr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34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930150" w:rsidRPr="00930150" w:rsidTr="00BB6BC2">
              <w:trPr>
                <w:trHeight w:val="800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Национальное и международное ветеринарное законодательство </w:t>
                  </w:r>
                </w:p>
              </w:tc>
            </w:tr>
          </w:tbl>
          <w:p w:rsidR="00930150" w:rsidRPr="00930150" w:rsidRDefault="00930150" w:rsidP="00BB6B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800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Заходнова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Д. В. Сборник заданий и тестов по дисциплине «Национальное и международное ветеринарное законодательство» по направлению подготовки «Ветеринария» / Д.В.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Заходнова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И.И. Шершнева, Д.А. Орехов; МСХ РФ,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. - Санкт-Петербург: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2021. - 63 с.</w:t>
                  </w:r>
                </w:p>
              </w:tc>
            </w:tr>
          </w:tbl>
          <w:p w:rsidR="00930150" w:rsidRPr="00930150" w:rsidRDefault="00930150" w:rsidP="00BB6BC2">
            <w:pPr>
              <w:pStyle w:val="Default"/>
              <w:rPr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</w:tc>
            </w:tr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Барляева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Е.А. Модальные глаголы и другие аспекты английской грамматики: 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учеб.-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метод. пособие по англ. яз. для студентов 1 курса фак.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вет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мед. / Е.А.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Барляева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Н.Л. Короткова. – СПб.: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– 45 с. </w:t>
                  </w: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2"/>
            </w:tblGrid>
            <w:tr w:rsidR="00930150" w:rsidRPr="00930150" w:rsidTr="00BB6BC2">
              <w:trPr>
                <w:trHeight w:val="245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Латинский язык </w:t>
                  </w:r>
                </w:p>
              </w:tc>
            </w:tr>
          </w:tbl>
          <w:p w:rsidR="00930150" w:rsidRPr="00930150" w:rsidRDefault="00930150" w:rsidP="00BB6B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245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Котова А.В. Латинский язык: методические указания по организации самостоятельной работы студентов. - СПб: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- 13 с. </w:t>
                  </w:r>
                </w:p>
              </w:tc>
            </w:tr>
          </w:tbl>
          <w:p w:rsidR="00930150" w:rsidRPr="00930150" w:rsidRDefault="00930150" w:rsidP="00BB6BC2">
            <w:pPr>
              <w:pStyle w:val="Default"/>
              <w:rPr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3"/>
            </w:tblGrid>
            <w:tr w:rsidR="002B5E99" w:rsidRPr="00930150" w:rsidTr="007214E3">
              <w:trPr>
                <w:trHeight w:val="214"/>
              </w:trPr>
              <w:tc>
                <w:tcPr>
                  <w:tcW w:w="1572" w:type="dxa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Биологическая физика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2B5E99" w:rsidRPr="00930150" w:rsidTr="00C70205">
              <w:trPr>
                <w:trHeight w:val="524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Карулина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Е. А., Крушельницкий А.Н., Скворцов Д. А., Чистякова О. В,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Карулина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О. А. Методы расчетной и графической обработки экспериментальных данных в биологической физике: Учебно-методическое пособие – СПб.,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2019г. — 60 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3"/>
            </w:tblGrid>
            <w:tr w:rsidR="002B5E99" w:rsidRPr="00930150" w:rsidTr="00C70205">
              <w:trPr>
                <w:trHeight w:val="524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Неорганическая и аналитическая химия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B5E99" w:rsidRPr="00930150" w:rsidTr="00C70205">
              <w:trPr>
                <w:trHeight w:val="524"/>
              </w:trPr>
              <w:tc>
                <w:tcPr>
                  <w:tcW w:w="0" w:type="auto"/>
                </w:tcPr>
                <w:p w:rsidR="002B5E99" w:rsidRPr="00930150" w:rsidRDefault="002B5E9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4372" w:type="dxa"/>
          </w:tcPr>
          <w:p w:rsidR="00930150" w:rsidRPr="00930150" w:rsidRDefault="00930150" w:rsidP="0093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Неорганическая химия</w:t>
            </w:r>
          </w:p>
        </w:tc>
        <w:tc>
          <w:tcPr>
            <w:tcW w:w="9742" w:type="dxa"/>
          </w:tcPr>
          <w:p w:rsidR="00930150" w:rsidRPr="00930150" w:rsidRDefault="00930150" w:rsidP="0093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Луцко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Т.П.,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Барышев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А.Н., Осипова А.В. Практикум по неорганической и аналитической химии. - СПб., Издательство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2019. – 82 с. </w:t>
            </w: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4372" w:type="dxa"/>
          </w:tcPr>
          <w:p w:rsidR="00930150" w:rsidRPr="00930150" w:rsidRDefault="00930150" w:rsidP="0093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Аналитическая химия</w:t>
            </w:r>
          </w:p>
        </w:tc>
        <w:tc>
          <w:tcPr>
            <w:tcW w:w="9742" w:type="dxa"/>
          </w:tcPr>
          <w:p w:rsidR="00930150" w:rsidRPr="00930150" w:rsidRDefault="00930150" w:rsidP="0093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Луцко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Т.П., Осипова А.В.,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Барышев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А.Н. Неорганическая и аналитическая химия. - СПб., Издательство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2019. – 71с.</w:t>
            </w: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930150" w:rsidRPr="00930150" w:rsidTr="00B9334A">
              <w:trPr>
                <w:trHeight w:val="347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Органическая, физическая и коллоидная химия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52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Карпенко Л.Ю., Иванова К.П. Методические рекомендации по выполнению самостоятельной работы по дисциплине «Органическая, физическая и коллоидная химия» для студентов, обучающихся специальности «Ветеринария» – СПб., Издательство ФГБОУ «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», - 2019 г. – 25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3"/>
            </w:tblGrid>
            <w:tr w:rsidR="00930150" w:rsidRPr="00930150">
              <w:trPr>
                <w:trHeight w:val="52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Биологическая химия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52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Васильева С.В. Методические рекомендации по выполнению самостоятельной работы по дисциплине «Биологическая химия» для студентов, обучающихся по специальности «Ветеринария» – СПб., Издательство ФГБОУ ВО «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», - 2019 г. – 22с.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4372" w:type="dxa"/>
          </w:tcPr>
          <w:p w:rsidR="00930150" w:rsidRPr="00930150" w:rsidRDefault="00930150" w:rsidP="0093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 и цифровые технологии</w:t>
            </w:r>
          </w:p>
        </w:tc>
        <w:tc>
          <w:tcPr>
            <w:tcW w:w="9742" w:type="dxa"/>
          </w:tcPr>
          <w:p w:rsidR="00930150" w:rsidRPr="00930150" w:rsidRDefault="00930150" w:rsidP="0093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Смирнова Е.М. Учебное пособие по информатике и основам биологической статистики для студентов, обучающихся по направлению подготовки 36.05.01–Ветеринария. СПб., Издательство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2019. – 87 с. </w:t>
            </w:r>
          </w:p>
          <w:p w:rsidR="00930150" w:rsidRPr="00930150" w:rsidRDefault="00930150" w:rsidP="0093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4"/>
            </w:tblGrid>
            <w:tr w:rsidR="00930150" w:rsidRPr="00930150">
              <w:trPr>
                <w:trHeight w:val="524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Биология с основами экологии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524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Амосов П.Н. Биология с основами экологии. Лабораторно-практические занятия: методическое пособие для студентов специальности 36.05.01. «Ветеринария» очной, заочной и очно-заочной форм обучения / П.Н. 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Амосов ;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 – Санкт-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Петербург :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36 с.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B5E99" w:rsidRPr="00930150" w:rsidRDefault="002B5E99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930150" w:rsidRPr="00930150" w:rsidTr="00930150">
        <w:tc>
          <w:tcPr>
            <w:tcW w:w="446" w:type="dxa"/>
          </w:tcPr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45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5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Зоология </w:t>
                  </w: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Амосов П.Н. Зоология: методические указания по самостоятельной работе для студентов по направлению подготовки 36.05.01. «Ветеринария» очной, очно-заочной и заочной форм обучения/ П</w:t>
                  </w: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4"/>
            </w:tblGrid>
            <w:tr w:rsidR="00930150" w:rsidRPr="00930150" w:rsidTr="00BB6BC2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Анатомия животных </w:t>
                  </w:r>
                </w:p>
              </w:tc>
            </w:tr>
          </w:tbl>
          <w:p w:rsidR="00930150" w:rsidRPr="00930150" w:rsidRDefault="00930150" w:rsidP="00BB6B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Щипакин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М.В. Учебное пособие по анатомии животных «Нервная система домашних животных. Анатомия домашней птицы. Органы кровообразования и иммуногенеза. Железы внутренней секреции» / М.В.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Щипакин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Н.В.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Зеленевский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А.В. Прусаков, Ю.Ю. Бартенева, Д.С.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Былинская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Д.В. Васильев, А.С. Стратонов, В.А. Хватов, С.И. Мельников // СПб, Изд-во «Периферия», 2019 г. –75 с. </w:t>
                  </w:r>
                </w:p>
              </w:tc>
            </w:tr>
          </w:tbl>
          <w:p w:rsidR="00930150" w:rsidRPr="00930150" w:rsidRDefault="00930150" w:rsidP="00BB6BC2">
            <w:pPr>
              <w:pStyle w:val="Default"/>
              <w:rPr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604AC9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3015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3"/>
            </w:tblGrid>
            <w:tr w:rsidR="004E1CF8" w:rsidRPr="00930150">
              <w:trPr>
                <w:trHeight w:val="661"/>
              </w:trPr>
              <w:tc>
                <w:tcPr>
                  <w:tcW w:w="0" w:type="auto"/>
                </w:tcPr>
                <w:p w:rsidR="004E1CF8" w:rsidRPr="00930150" w:rsidRDefault="004E1CF8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Цитология, гистология и эмбриология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604AC9" w:rsidRPr="00930150" w:rsidTr="00C70205">
              <w:trPr>
                <w:trHeight w:val="661"/>
              </w:trPr>
              <w:tc>
                <w:tcPr>
                  <w:tcW w:w="0" w:type="auto"/>
                </w:tcPr>
                <w:p w:rsidR="00604AC9" w:rsidRPr="00930150" w:rsidRDefault="00604AC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М.Э. Мкртчян, Э.Н.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Таймусова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Н.А. Бабурина Цитология, гистология и эмбриология: методические указания по самостоятельной работе для студентов специальности 36.05.01. «Ветеринария» очной, заочной и очно-заочной форм обучения / М.Э. Мкртчян, Д.И. Сафронов, Э.Н.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Таймусова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Н.А. Бабурина;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 – Санкт-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Петербург :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31с.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604AC9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3015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9"/>
            </w:tblGrid>
            <w:tr w:rsidR="004E1CF8" w:rsidRPr="00930150">
              <w:trPr>
                <w:trHeight w:val="522"/>
              </w:trPr>
              <w:tc>
                <w:tcPr>
                  <w:tcW w:w="0" w:type="auto"/>
                </w:tcPr>
                <w:p w:rsidR="004E1CF8" w:rsidRPr="00930150" w:rsidRDefault="004E1CF8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Физиология животных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604AC9" w:rsidRPr="00930150" w:rsidTr="00C70205">
              <w:trPr>
                <w:trHeight w:val="522"/>
              </w:trPr>
              <w:tc>
                <w:tcPr>
                  <w:tcW w:w="0" w:type="auto"/>
                </w:tcPr>
                <w:p w:rsidR="00604AC9" w:rsidRPr="00930150" w:rsidRDefault="00604AC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Енукашвили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А.И.,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Скопичев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В.Г., Панова Н.А., Балыкина А.Б. Методические рекомендации по выполнению самостоятельной работы по дисциплине «Физиология животных» для студентов, обучающихся по специальности «Ветеринария» – СПб., Издательство ФГБОУ ВПО «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», - 2019 г. –26с.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930150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5"/>
            </w:tblGrid>
            <w:tr w:rsidR="004E1CF8" w:rsidRPr="00930150">
              <w:trPr>
                <w:trHeight w:val="522"/>
              </w:trPr>
              <w:tc>
                <w:tcPr>
                  <w:tcW w:w="0" w:type="auto"/>
                </w:tcPr>
                <w:p w:rsidR="004E1CF8" w:rsidRPr="00930150" w:rsidRDefault="004E1CF8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Патологическая физиология животных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604AC9" w:rsidRPr="00930150" w:rsidTr="00C70205">
              <w:trPr>
                <w:trHeight w:val="522"/>
              </w:trPr>
              <w:tc>
                <w:tcPr>
                  <w:tcW w:w="0" w:type="auto"/>
                </w:tcPr>
                <w:p w:rsidR="00604AC9" w:rsidRPr="00930150" w:rsidRDefault="00604AC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Крячко О.В.,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Лукоянова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Л.А., Патологическая физиология животных. Общая нозология. Типовые патологические процессы: Учебное пособие для самостоятельной работы студентов по специальности 36.05.01 «Ветеринария». СПб.: Издательство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г. - 45 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930150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604AC9" w:rsidRPr="00930150">
              <w:trPr>
                <w:trHeight w:val="524"/>
              </w:trPr>
              <w:tc>
                <w:tcPr>
                  <w:tcW w:w="0" w:type="auto"/>
                </w:tcPr>
                <w:p w:rsidR="00604AC9" w:rsidRPr="00930150" w:rsidRDefault="00604AC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Ветеринарная микробиология и микология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604AC9" w:rsidRPr="00930150" w:rsidTr="00C70205">
              <w:trPr>
                <w:trHeight w:val="524"/>
              </w:trPr>
              <w:tc>
                <w:tcPr>
                  <w:tcW w:w="0" w:type="auto"/>
                </w:tcPr>
                <w:p w:rsidR="00604AC9" w:rsidRPr="00930150" w:rsidRDefault="00604AC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Ветеринарная микробиология и микология: диагностика бактериальных болезней животных. Практикум /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Сухинин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Смирнова Л.И.,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Тулева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Н.П., Белкина И.В., Приходько Е.И.,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Макавчик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С.А., Бакулин В.А., Виноходов В.О. - СПб: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91 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E99" w:rsidRPr="00930150" w:rsidTr="00930150">
        <w:tc>
          <w:tcPr>
            <w:tcW w:w="446" w:type="dxa"/>
          </w:tcPr>
          <w:p w:rsidR="002B5E99" w:rsidRPr="00930150" w:rsidRDefault="00930150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3"/>
            </w:tblGrid>
            <w:tr w:rsidR="00604AC9" w:rsidRPr="00930150">
              <w:trPr>
                <w:trHeight w:val="248"/>
              </w:trPr>
              <w:tc>
                <w:tcPr>
                  <w:tcW w:w="0" w:type="auto"/>
                </w:tcPr>
                <w:p w:rsidR="00604AC9" w:rsidRPr="00930150" w:rsidRDefault="00604AC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Вирусология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604AC9" w:rsidRPr="00930150" w:rsidTr="00C70205">
              <w:trPr>
                <w:trHeight w:val="248"/>
              </w:trPr>
              <w:tc>
                <w:tcPr>
                  <w:tcW w:w="0" w:type="auto"/>
                </w:tcPr>
                <w:p w:rsidR="00604AC9" w:rsidRPr="00930150" w:rsidRDefault="00604AC9" w:rsidP="005F38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Вирусология: Лабораторная диагностика вирусных болезней. Учебное пособие/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Сухинин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 - СПб: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91 с. </w:t>
                  </w:r>
                </w:p>
              </w:tc>
            </w:tr>
          </w:tbl>
          <w:p w:rsidR="002B5E99" w:rsidRPr="00930150" w:rsidRDefault="002B5E99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205" w:rsidRPr="00930150" w:rsidTr="00930150">
        <w:tc>
          <w:tcPr>
            <w:tcW w:w="446" w:type="dxa"/>
          </w:tcPr>
          <w:p w:rsidR="00C70205" w:rsidRPr="00930150" w:rsidRDefault="00930150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4372" w:type="dxa"/>
          </w:tcPr>
          <w:p w:rsidR="00C70205" w:rsidRPr="00930150" w:rsidRDefault="00C70205" w:rsidP="005F3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Ветеринарная фармакология</w:t>
            </w:r>
          </w:p>
        </w:tc>
        <w:tc>
          <w:tcPr>
            <w:tcW w:w="9742" w:type="dxa"/>
          </w:tcPr>
          <w:p w:rsidR="00C70205" w:rsidRPr="00930150" w:rsidRDefault="002B0A13" w:rsidP="005F3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Лекарственные средства с преимущественным действием на центральную нервную </w:t>
            </w:r>
            <w:proofErr w:type="gram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систему :</w:t>
            </w:r>
            <w:proofErr w:type="gram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учебно-методическое пособие по ветеринарной фармакологии для студентов факультета ветеринарной медицины / авт.-сост.: А. М. Лунегов, Н. Л. Андреева, В. А.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Барышев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О. С. Попова [и др.]; МСХ РФ,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СПбГУВМ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- Санкт-</w:t>
            </w:r>
            <w:proofErr w:type="gram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Петербург :</w:t>
            </w:r>
            <w:proofErr w:type="gram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ФГБОУ ВО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СПбГУВМ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2020. - 55 с.</w:t>
            </w:r>
          </w:p>
        </w:tc>
      </w:tr>
      <w:tr w:rsidR="00C70205" w:rsidRPr="00930150" w:rsidTr="00930150">
        <w:tc>
          <w:tcPr>
            <w:tcW w:w="446" w:type="dxa"/>
          </w:tcPr>
          <w:p w:rsidR="00C70205" w:rsidRPr="00930150" w:rsidRDefault="00930150" w:rsidP="005F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4372" w:type="dxa"/>
          </w:tcPr>
          <w:p w:rsidR="00C70205" w:rsidRPr="00930150" w:rsidRDefault="00C70205" w:rsidP="005F3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Токсикология</w:t>
            </w:r>
          </w:p>
        </w:tc>
        <w:tc>
          <w:tcPr>
            <w:tcW w:w="9742" w:type="dxa"/>
          </w:tcPr>
          <w:p w:rsidR="00C70205" w:rsidRPr="00930150" w:rsidRDefault="002B0A13" w:rsidP="005F3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Андреева Н.Л., Лунегов А.М., Попова О.С.,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Барышев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В.А. Антимикробные и противопаразитарные средства. Учебно-методическое пособие по ветеринарной фармакологии. - СПб., Издательство ФГБОУ ВО </w:t>
            </w:r>
            <w:proofErr w:type="spellStart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СПбГАВМ</w:t>
            </w:r>
            <w:proofErr w:type="spellEnd"/>
            <w:r w:rsidRPr="009301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2019 г. – 58 с.</w:t>
            </w:r>
          </w:p>
        </w:tc>
      </w:tr>
    </w:tbl>
    <w:p w:rsidR="002B5E99" w:rsidRPr="00930150" w:rsidRDefault="002B5E99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54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2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Ветеринарная радиобиология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Трошин Е.И., Васильев Р.О., Васильев Р.М. Краткий курс ветеринарной радиобиологии. Учебное пособие / составители Е. И. Трошин, Р. М. Васильев, Р.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О.Васильев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[и др.];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2019 - 184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0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Ветеринарная генетика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Уколов П.И.,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Шараськина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О.Г.,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Пристач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Л.Н.Рабочая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тетрадь для практических занятий по дисциплине и «Ветеринарная генетика» для обучающихся по направлению 36.05.01 «Ветеринария» – СПб.: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– 2019 – 214 с.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3"/>
            </w:tblGrid>
            <w:tr w:rsidR="00930150" w:rsidRPr="00930150">
              <w:trPr>
                <w:trHeight w:val="524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Гигиена животных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524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Гигиена животных: методические рекомендации по выполнению курсовой работы для обучающихся по специальности 36.05.01 «Ветеринария» очной, очно-заочной, заочной форм обучения. / А.Е. Белопольский;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– Санкт - 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Петербург :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56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6"/>
            </w:tblGrid>
            <w:tr w:rsidR="00930150" w:rsidRPr="00930150">
              <w:trPr>
                <w:trHeight w:val="524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Безопасность жизнедеятельности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524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Пономаренко Н.П., Цыганов А.В. Государственное регулирование и управление охраной труда: учебное пособие учебное пособие / МСХ РФ,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- Санкт-Петербург: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2022. - 94 с.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5"/>
            </w:tblGrid>
            <w:tr w:rsidR="00930150" w:rsidRPr="00930150">
              <w:trPr>
                <w:trHeight w:val="52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Клиническая диагностика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52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Методические рекомендации по организации самостоятельной работы по дисциплинам "Клиническая диагностика", "Гематология", "Лабораторная диагностика", "Инструментальные методы диагностики" для студентов, обучающихся по специальности "Ветеринария" / сост.: С. П. Ковалев [и др.]; МСХ,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 - Санкт-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Петербург: 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Фалкон</w:t>
                  </w:r>
                  <w:proofErr w:type="spellEnd"/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Принт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2019. - 26 с.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4"/>
            </w:tblGrid>
            <w:tr w:rsidR="00930150" w:rsidRPr="00930150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Внутренние незаразные болезни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Яшин А. В., Батраков А. Я.,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Винникова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С. В., Донская Т. К.,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Куляков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Г. В.,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ГолодяеваС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Методические указания по внутренним незаразным «Применение лекарственных средств при лечении болезней желудочно-кишечного тракта» для студентов очной, очно-заочной (вечерней) и заочной форм обучения факультета ветеринарной медицины – СПб, 2019 г. – 43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930150" w:rsidRPr="00930150">
              <w:trPr>
                <w:trHeight w:val="800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Оперативная хирургия с топографической анатомией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800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Виденин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В.Н. Семёнов Б.С., Нечаев А.Ю. Методические указания по оперативной хирургии с топографической анатомией: курс лекций по оперативной хирургии с топографической анатомией по теме «разъединение и соединение тканей при хирургических операциях у животных» для студентов очной, очно-заочной (вечерней) и заочной форм обучения факультета ветеринарной медицины. – СПБ, 2019 г. – 93c.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8"/>
            </w:tblGrid>
            <w:tr w:rsidR="00930150" w:rsidRPr="00930150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Общая и частная хирургия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А. А. Методические рекомендации по выполнению курсовой работы на кафедре общей и частной хирургии / А.А.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Л.Н.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Трудова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Е.В. Титова; МСХ РФ,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- Санкт-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Петербург :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2021. - 29 с.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4AC9" w:rsidRPr="00930150" w:rsidRDefault="00604AC9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30150" w:rsidRPr="00930150" w:rsidRDefault="00930150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30150" w:rsidRPr="00930150" w:rsidRDefault="00930150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30150" w:rsidRPr="00930150" w:rsidRDefault="00930150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930150" w:rsidRPr="00930150" w:rsidTr="00BB6BC2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62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930150" w:rsidRPr="00930150" w:rsidTr="00BB6BC2">
              <w:trPr>
                <w:trHeight w:val="52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Акушерство и гинекология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52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Племяшов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К. В. Методические указания по выполнению курсовой работы (истории болезни) по дисциплине «Акушерство и гинекология» / К. 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Племяшов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И.В.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Смышляев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Н.Б. Баженова, А.Ю. Нечаев, Г.С. Никитин, М.С.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Ладанова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П.С.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Анипченко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– Санкт-Петербург: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34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BB6BC2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Паразитология и инвазионные болезни животных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Белова Л.М. Методические рекомендации для студентов факультета ветеринарии </w:t>
                  </w:r>
                </w:p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медицины. Уровень высшего образования: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специалитет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Специальность 36.05.01 Ветеринария (очная, очно-заочная (вечерняя), заочная формы обучения) по выполнению и оформлению курсовой работы по дисциплине Паразитология и инвазионные болезни. / Л.М. Белова, Н.А. Гаврилова // СПб.,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2019 – 13 с.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</w:tr>
      <w:tr w:rsidR="00930150" w:rsidRPr="00930150" w:rsidTr="00BB6BC2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930150" w:rsidRPr="00930150" w:rsidTr="00BB6BC2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Эпизоотология и инфекционные болезни животных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Учебно-методическое пособие по дисциплине «Эпизоотология и инфекционные болезни»: дезинсекция в системе мер противоэпизоотических мероприятий / Полякова О.Р.,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Козыренко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О.В., Кузьмин В.А., Джавадов Э.Д., Данко Ю.Ю., Фогель Л.С.,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Кисиль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А.С., Иванов Ю.В., Ещенко И.Д.– СПб.: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г. – 14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BB6BC2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8"/>
            </w:tblGrid>
            <w:tr w:rsidR="00930150" w:rsidRPr="00930150" w:rsidTr="00BB6BC2">
              <w:trPr>
                <w:trHeight w:val="658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Патологическая анатомия животных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658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Методические рекомендации по выполнению самостоятельной работы студентов по дисциплинам кафедры патологической анатомии и судебной ветеринарной медицины / А.А. Кудряшов, В.И. Балабанова, Д.Е.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Левтеров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Ю.В. Иванов; МСХ РФ,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. – Санкт-Петербург: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2021. – 67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BB6BC2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5"/>
            </w:tblGrid>
            <w:tr w:rsidR="00930150" w:rsidRPr="00930150" w:rsidTr="00BB6BC2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Физическая культура и спорт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Круглов С.Г., Гаврилова Е.А., Жаринов Н.М., Жаринова 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Е.Н..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Методические рекомендации для студентов VI функциональной группы здоровья по выполнению и оформлению реферативной работы по учебной дисциплине «Физическая культура и спорт». Направление подготовки 36.05.01 – «Ветеринария»- СПб., Издательство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– 25с.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BB6BC2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9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Экономика АПК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Чеховских И.А. Рабочая тетрадь для выполнения практических работ по дисциплине «Экономика АПК» для обучающихся по специальности 36.05.01 - «Ветеринария» очной, очно-заочной (вечерней) и заочной форм обучения / Чеховских Ирина </w:t>
                  </w:r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Александровна ;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редактор-составитель : Т. 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Гримута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; МСХ РФ,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- Санкт-Петербург : ФГБОУ 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СПбГУВМ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2020.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BB6BC2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1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Правоведение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Оль Е.М. Сборник контрольных заданий по учебной дисциплине «Правоведение» для студентов, обучающихся по специальности 36.05.01 Ветеринария / Е.М. Оль //.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- Санкт-Петербург: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– 30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BB6BC2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2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и культура речи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Ледовских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Н.В. Русский язык и культура речи: учебно-методическое пособие для студентов очной, очно-заочной и заочной форм обучения. – СПб.,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г. – 38 с.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30150" w:rsidRPr="00930150" w:rsidRDefault="00930150" w:rsidP="0093015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30150" w:rsidRPr="00930150" w:rsidRDefault="00930150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70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930150" w:rsidRPr="00930150" w:rsidTr="00BB6BC2">
              <w:trPr>
                <w:trHeight w:val="800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Кормление животных с основами кормопроизводства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800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Кормление животных с основами кормопроизводства: методические указания для самостоятельной работы студентов по выполнению и оформлению реферата для обучающихся по специальности 36.05.01 «Ветеринария» очной, заочной и очно-заочной форм обучения / авторы-составители: Н. 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Пристач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Л. Н.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Пристач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Н. Д. Виноградова, С. Л. Сафронов; Министерство сельского хозяйства РФ, Санкт-Петербургская государственная академия ветеринарной медицины. - Санкт-Петербург: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 - 21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4372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Разведение и основы зоотехнии</w:t>
            </w: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522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Уколов П.И.,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Шараськина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О.Г.,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Пристач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Л.Н Методические указания для практических занятий по дисциплине «Разведение с основами частной зоотехнии» для обучающихся по направлению 36.05.01 «Ветеринария» – СПб.: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–2019. - 26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7"/>
            </w:tblGrid>
            <w:tr w:rsidR="00930150" w:rsidRPr="00930150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Основы ветеринарной фармации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Андреева Н.Л., Лунегов А.М.,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Барышев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В.А. Учебно-методическое пособие «Основы ветеринарной фармации» для студентов ветеринарного факультета очной и заочной формы обучения. – СПб., 2016г. – 123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0150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8"/>
            </w:tblGrid>
            <w:tr w:rsidR="00930150" w:rsidRPr="00930150">
              <w:trPr>
                <w:trHeight w:val="798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Общепрофессиональная практика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798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Пособие по выполнению программы учебной общепрофессиональной практики / Д.А. Орлова, М.В.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Щипакин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Л.Н.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Пристач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Н.В.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Пристач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М.Э. Мкртчян, Д.С.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Былинская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П.Н. Амосов - Санкт-Петербург: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2019 - 101 с. </w:t>
                  </w:r>
                </w:p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Учебно-методическое пособие по выполнению учебной общепрофессиональной практики /Л.Н.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Пристач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Н.В.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Пристач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О.В. Крячко, Д.А. Орлова, М.В.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Щипакин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- Санкт-Петербург: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 – 126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0"/>
            </w:tblGrid>
            <w:tr w:rsidR="00930150" w:rsidRPr="00930150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Клиническая практика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Методические указания по учебной практике (клиническая практика) для студентов факультета ветеринарной медицины 3-го курса очной формы обучения, 4-го курса очно-заочной (вечерней) и заочной форм обучения/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Сухинин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Андреева Н.Л., Кузнецов А.Ф., Ковалев С.П., Нечаев А.Ю., Семенов Б.С., Орлова Д.А.,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Щипакин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М.В. – Санкт-Петербург,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2019.- 36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</w:tblGrid>
            <w:tr w:rsidR="00930150" w:rsidRPr="00930150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Научно-исследовательская работа(получение первичных навыков научно-исследовательский работы)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Методические указания по НИР для студентов факультета ветеринарной медицины /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Сухинин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Лунегов А.М., Белова Л.М., Кудряшов А.А.,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Козыренко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О.В.,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Племяшов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К.В., Семенов Б.С., Яшин А.В., Токарев А.Н., Померанцев Д.А., Орлова Д.А.,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Щипакин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М.В. – Санкт-Петербург,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2019.- 30 с. </w:t>
                  </w:r>
                </w:p>
              </w:tc>
            </w:tr>
          </w:tbl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930150">
        <w:tc>
          <w:tcPr>
            <w:tcW w:w="446" w:type="dxa"/>
          </w:tcPr>
          <w:p w:rsidR="00930150" w:rsidRPr="00930150" w:rsidRDefault="00930150" w:rsidP="00930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58"/>
            </w:tblGrid>
            <w:tr w:rsidR="00930150" w:rsidRPr="00930150">
              <w:trPr>
                <w:trHeight w:val="798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Врачебно-производственная практика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C70205">
              <w:trPr>
                <w:trHeight w:val="798"/>
              </w:trPr>
              <w:tc>
                <w:tcPr>
                  <w:tcW w:w="0" w:type="auto"/>
                </w:tcPr>
                <w:p w:rsidR="00930150" w:rsidRPr="00930150" w:rsidRDefault="00930150" w:rsidP="00930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Методические указания по производственной, в том числе преддипломной практике для студентов факультета ветеринарной медицины 4-го курса очной формы обучения, 5-го курса очно-заочной (вечерней) и заочной форм обучения/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Лунегов А.М., Белова Л.М., Кудряшов А.А.,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Козыренко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О.В.,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Племяшов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К.В., Семенов Б.С., Яшин А.В., Токарев А.Н., Померанцев Д.А., Орлова Д.А.,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Щипакин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М.В. – Санкт-Петербург, Изд-во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2019.- 46 с. </w:t>
                  </w:r>
                </w:p>
              </w:tc>
            </w:tr>
          </w:tbl>
          <w:p w:rsidR="00930150" w:rsidRPr="00930150" w:rsidRDefault="00930150" w:rsidP="0093015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54D78" w:rsidRPr="00930150" w:rsidRDefault="00354D78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30150" w:rsidRPr="00930150" w:rsidRDefault="00930150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72"/>
        <w:gridCol w:w="9742"/>
      </w:tblGrid>
      <w:tr w:rsidR="00930150" w:rsidRPr="00930150" w:rsidTr="00BB6BC2">
        <w:tc>
          <w:tcPr>
            <w:tcW w:w="446" w:type="dxa"/>
          </w:tcPr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77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0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Научно-исследовательская работа </w:t>
                  </w: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385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Методические указания по НИР для студентов факультета ветеринарной медицины /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Сухинин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Лунегов А.М., Белова Л.М., Кудряшов А.А.,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Козыренко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О.В.,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Племяшов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К.В., Семенов Б.С., Яшин А.В., </w:t>
                  </w: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930150" w:rsidTr="00BB6BC2">
        <w:tc>
          <w:tcPr>
            <w:tcW w:w="446" w:type="dxa"/>
          </w:tcPr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6"/>
            </w:tblGrid>
            <w:tr w:rsidR="00930150" w:rsidRPr="00930150" w:rsidTr="00BB6BC2">
              <w:trPr>
                <w:trHeight w:val="524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Клиническая эндокринология </w:t>
                  </w: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930150" w:rsidTr="00BB6BC2">
              <w:trPr>
                <w:trHeight w:val="524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Карпенко Л.Ю.,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Бахта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А.А., Балыкина А.Б. Клиническая эндокринология. Учебно-методическое. пособие для самостоятельной работы студентов по специальности 36.05.01.- "Ветеринария"– СПб., Издательство ФГБОУ ВО «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», - 2019 г. –17 с. </w:t>
                  </w: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5F3875" w:rsidTr="00BB6BC2">
        <w:tc>
          <w:tcPr>
            <w:tcW w:w="446" w:type="dxa"/>
          </w:tcPr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7"/>
            </w:tblGrid>
            <w:tr w:rsidR="00930150" w:rsidRPr="00930150" w:rsidTr="00BB6BC2">
              <w:trPr>
                <w:trHeight w:val="522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Дерматология </w:t>
                  </w: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5F3875" w:rsidTr="00BB6BC2">
              <w:trPr>
                <w:trHeight w:val="522"/>
              </w:trPr>
              <w:tc>
                <w:tcPr>
                  <w:tcW w:w="0" w:type="auto"/>
                </w:tcPr>
                <w:p w:rsidR="00930150" w:rsidRPr="005F3875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Трудова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Л.Н. Дерматология: методические рекомендации по гнойничковым болезням кожи у животных для самостоятельной работы студентов/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Л.Н.Трудова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А.Г.Смолин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А.А.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Стекольников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/ </w:t>
                  </w:r>
                  <w:proofErr w:type="spellStart"/>
                  <w:proofErr w:type="gram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.-</w:t>
                  </w:r>
                  <w:proofErr w:type="gram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СПб: Издательство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СПбГАВМ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2019. – 12 с.</w:t>
                  </w:r>
                  <w:r w:rsidRPr="005F38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30150" w:rsidRPr="005F3875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150" w:rsidRPr="005F3875" w:rsidTr="00BB6BC2">
        <w:tc>
          <w:tcPr>
            <w:tcW w:w="446" w:type="dxa"/>
          </w:tcPr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4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930150" w:rsidRPr="00930150" w:rsidTr="00BB6BC2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Кардиология </w:t>
                  </w:r>
                </w:p>
              </w:tc>
            </w:tr>
          </w:tbl>
          <w:p w:rsidR="00930150" w:rsidRPr="00930150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930150" w:rsidRPr="005F3875" w:rsidTr="00BB6BC2">
              <w:trPr>
                <w:trHeight w:val="661"/>
              </w:trPr>
              <w:tc>
                <w:tcPr>
                  <w:tcW w:w="0" w:type="auto"/>
                </w:tcPr>
                <w:p w:rsidR="00930150" w:rsidRPr="00930150" w:rsidRDefault="00930150" w:rsidP="00BB6B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Яшин А. В., Батраков А. Я.,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Винникова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С. В., Донская Т. К.,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Куляков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Г. В., 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Голодяева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М. С. Методические указания по внутренним незаразным болезням животных (факультатив «кардиология»): «Электрокардиография с основами применения лекарственных средств» для студентов факультета ветеринарно-санитарной экспертизы (</w:t>
                  </w:r>
                  <w:proofErr w:type="spellStart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бакалавриат</w:t>
                  </w:r>
                  <w:proofErr w:type="spellEnd"/>
                  <w:r w:rsidRPr="009301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 – СПб, 2019 г. – 58 с. </w:t>
                  </w:r>
                </w:p>
              </w:tc>
            </w:tr>
          </w:tbl>
          <w:p w:rsidR="00930150" w:rsidRPr="005F3875" w:rsidRDefault="00930150" w:rsidP="00BB6B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30150" w:rsidRPr="005F3875" w:rsidRDefault="00930150" w:rsidP="005F3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930150" w:rsidRPr="005F3875" w:rsidSect="00D64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6F"/>
    <w:rsid w:val="000E230E"/>
    <w:rsid w:val="00116DF0"/>
    <w:rsid w:val="001736FE"/>
    <w:rsid w:val="00184B91"/>
    <w:rsid w:val="00257D8A"/>
    <w:rsid w:val="002654E6"/>
    <w:rsid w:val="002B0A13"/>
    <w:rsid w:val="002B5E99"/>
    <w:rsid w:val="00303778"/>
    <w:rsid w:val="00354D78"/>
    <w:rsid w:val="003C0AFD"/>
    <w:rsid w:val="003F4E11"/>
    <w:rsid w:val="003F7CC2"/>
    <w:rsid w:val="0045034F"/>
    <w:rsid w:val="004D6562"/>
    <w:rsid w:val="004E1CF8"/>
    <w:rsid w:val="005F3875"/>
    <w:rsid w:val="00604AC9"/>
    <w:rsid w:val="00641307"/>
    <w:rsid w:val="00706AB6"/>
    <w:rsid w:val="00715FDF"/>
    <w:rsid w:val="007214E3"/>
    <w:rsid w:val="00824B3D"/>
    <w:rsid w:val="00836078"/>
    <w:rsid w:val="008C6C97"/>
    <w:rsid w:val="00930150"/>
    <w:rsid w:val="009309B0"/>
    <w:rsid w:val="009423C1"/>
    <w:rsid w:val="009A3532"/>
    <w:rsid w:val="009B1DF3"/>
    <w:rsid w:val="00A80306"/>
    <w:rsid w:val="00A865AB"/>
    <w:rsid w:val="00B10E9F"/>
    <w:rsid w:val="00B9334A"/>
    <w:rsid w:val="00BE3726"/>
    <w:rsid w:val="00C4250D"/>
    <w:rsid w:val="00C47A4F"/>
    <w:rsid w:val="00C70205"/>
    <w:rsid w:val="00D320C5"/>
    <w:rsid w:val="00D64E77"/>
    <w:rsid w:val="00DC31D6"/>
    <w:rsid w:val="00E03F18"/>
    <w:rsid w:val="00E7626F"/>
    <w:rsid w:val="00F04275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615F4-D9D8-48FD-96B7-2EAC773B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E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10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</dc:creator>
  <cp:keywords/>
  <dc:description/>
  <cp:lastModifiedBy>Лунегов А.М.</cp:lastModifiedBy>
  <cp:revision>7</cp:revision>
  <dcterms:created xsi:type="dcterms:W3CDTF">2022-12-05T12:31:00Z</dcterms:created>
  <dcterms:modified xsi:type="dcterms:W3CDTF">2022-12-07T11:21:00Z</dcterms:modified>
</cp:coreProperties>
</file>